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Causal-Condense Explorer（因果凝聚浏览器）软件规格说明书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项目</w:t>
            </w:r>
          </w:p>
        </w:tc>
        <w:tc>
          <w:tcPr>
            <w:tcW w:type="dxa" w:w="4320"/>
          </w:tcPr>
          <w:p>
            <w:r>
              <w:t>内容</w:t>
            </w:r>
          </w:p>
        </w:tc>
      </w:tr>
      <w:tr>
        <w:tc>
          <w:tcPr>
            <w:tcW w:type="dxa" w:w="4320"/>
          </w:tcPr>
          <w:p>
            <w:r>
              <w:t>软件名称</w:t>
            </w:r>
          </w:p>
        </w:tc>
        <w:tc>
          <w:tcPr>
            <w:tcW w:type="dxa" w:w="4320"/>
          </w:tcPr>
          <w:p>
            <w:r>
              <w:t>Causal-Condense Explorer · 因果凝聚可视化原型</w:t>
            </w:r>
          </w:p>
        </w:tc>
      </w:tr>
      <w:tr>
        <w:tc>
          <w:tcPr>
            <w:tcW w:type="dxa" w:w="4320"/>
          </w:tcPr>
          <w:p>
            <w:r>
              <w:t>版本</w:t>
            </w:r>
          </w:p>
        </w:tc>
        <w:tc>
          <w:tcPr>
            <w:tcW w:type="dxa" w:w="4320"/>
          </w:tcPr>
          <w:p>
            <w:r>
              <w:t>v1.2（含范畴论对应关系 + 布局优化版）</w:t>
            </w:r>
          </w:p>
        </w:tc>
      </w:tr>
      <w:tr>
        <w:tc>
          <w:tcPr>
            <w:tcW w:type="dxa" w:w="4320"/>
          </w:tcPr>
          <w:p>
            <w:r>
              <w:t>上线地址</w:t>
            </w:r>
          </w:p>
        </w:tc>
        <w:tc>
          <w:tcPr>
            <w:tcW w:type="dxa" w:w="4320"/>
          </w:tcPr>
          <w:p>
            <w:r>
              <w:t>https://my5dmodel.com/causal/</w:t>
            </w:r>
          </w:p>
        </w:tc>
      </w:tr>
      <w:tr>
        <w:tc>
          <w:tcPr>
            <w:tcW w:type="dxa" w:w="4320"/>
          </w:tcPr>
          <w:p>
            <w:r>
              <w:t>文档日期</w:t>
            </w:r>
          </w:p>
        </w:tc>
        <w:tc>
          <w:tcPr>
            <w:tcW w:type="dxa" w:w="4320"/>
          </w:tcPr>
          <w:p>
            <w:r>
              <w:t>2026-09-23</w:t>
            </w:r>
          </w:p>
        </w:tc>
      </w:tr>
      <w:tr>
        <w:tc>
          <w:tcPr>
            <w:tcW w:type="dxa" w:w="4320"/>
          </w:tcPr>
          <w:p>
            <w:r>
              <w:t>性质声明</w:t>
            </w:r>
          </w:p>
        </w:tc>
        <w:tc>
          <w:tcPr>
            <w:tcW w:type="dxa" w:w="4320"/>
          </w:tcPr>
          <w:p>
            <w:r>
              <w:t>理论演示与结构检验原型，不提供数学证明；理论权威以鲁学星《因果凝聚（Causal-net Condensation）》系列 arXiv 论文为唯一准绳</w:t>
            </w:r>
          </w:p>
        </w:tc>
      </w:tr>
    </w:tbl>
    <w:p>
      <w:pPr>
        <w:pStyle w:val="Heading1"/>
      </w:pPr>
      <w:r>
        <w:t>1. 概述</w:t>
      </w:r>
    </w:p>
    <w:p>
      <w:pPr>
        <w:pStyle w:val="Heading2"/>
      </w:pPr>
      <w:r>
        <w:t>1.1 软件定位</w:t>
      </w:r>
    </w:p>
    <w:p>
      <w:r>
        <w:t>本软件把《因果凝聚》论文中提出的一整套理论构造——原始因果 DAG → 张量弦图表示 → 因果网络范畴 Cau → 粗粒化变换 → 重整化演化 → 凝聚不动点自持态——做成可交互、可检验、可回退的可视化原型。用户通过点击、拖拽等操作亲手推进每一个理论步骤，并实时观察网络结构的变化与合法性诊断。</w:t>
      </w:r>
    </w:p>
    <w:p>
      <w:r>
        <w:t>交互范式继承 HodgeFold 四步推演：识别困境 → 升维审视 → 高维操作 → 降维返回。</w:t>
      </w:r>
    </w:p>
    <w:p>
      <w:pPr>
        <w:pStyle w:val="Heading2"/>
      </w:pPr>
      <w:r>
        <w:t>1.2 目标用户</w:t>
      </w:r>
    </w:p>
    <w:p>
      <w:pPr>
        <w:pStyle w:val="ListBullet"/>
      </w:pPr>
      <w:r>
        <w:t>理论研究者：直观检验论文构造的每一步是否保持结构合法；</w:t>
      </w:r>
    </w:p>
    <w:p>
      <w:pPr>
        <w:pStyle w:val="ListBullet"/>
      </w:pPr>
      <w:r>
        <w:t>学生与新用户：通过图解向导低门槛理解因果凝聚的思想脉络；</w:t>
      </w:r>
    </w:p>
    <w:p>
      <w:pPr>
        <w:pStyle w:val="ListBullet"/>
      </w:pPr>
      <w:r>
        <w:t>评审与访客：快速把握论文构造的整体流程。</w:t>
      </w:r>
    </w:p>
    <w:p>
      <w:pPr>
        <w:pStyle w:val="Heading2"/>
      </w:pPr>
      <w:r>
        <w:t>1.3 设计原则</w:t>
      </w:r>
    </w:p>
    <w:p>
      <w:r>
        <w:t>1. 单文件交付：全部功能封装在一个 index.html 中，零依赖、零构建，任何静态服务器可直接部署；</w:t>
      </w:r>
    </w:p>
    <w:p>
      <w:r>
        <w:t>2. 全部状态可回退：任何操作自动存入快照历史；</w:t>
      </w:r>
    </w:p>
    <w:p>
      <w:r>
        <w:t>3. 操作即理论：界面上的每个按钮对应论文中的一个概念（粗粒化、反向细化、不动点等）；</w:t>
      </w:r>
    </w:p>
    <w:p>
      <w:r>
        <w:t>4. 合法可见：每次变换后五条结构准则（C-01~C-05）即时给出 ✓ / ◌ / ✕ 判定。</w:t>
      </w:r>
    </w:p>
    <w:p>
      <w:pPr>
        <w:pStyle w:val="Heading1"/>
      </w:pPr>
      <w:r>
        <w:t>2. 理论基础（软件所演示的构造）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理论构件</w:t>
            </w:r>
          </w:p>
        </w:tc>
        <w:tc>
          <w:tcPr>
            <w:tcW w:type="dxa" w:w="2880"/>
          </w:tcPr>
          <w:p>
            <w:r>
              <w:t>论文出处</w:t>
            </w:r>
          </w:p>
        </w:tc>
        <w:tc>
          <w:tcPr>
            <w:tcW w:type="dxa" w:w="2880"/>
          </w:tcPr>
          <w:p>
            <w:r>
              <w:t>软件中的对应</w:t>
            </w:r>
          </w:p>
        </w:tc>
      </w:tr>
      <w:tr>
        <w:tc>
          <w:tcPr>
            <w:tcW w:type="dxa" w:w="2880"/>
          </w:tcPr>
          <w:p>
            <w:r>
              <w:t>因果网络范畴 Cau（对象=因果单元，态射=因果关系）</w:t>
            </w:r>
          </w:p>
        </w:tc>
        <w:tc>
          <w:tcPr>
            <w:tcW w:type="dxa" w:w="2880"/>
          </w:tcPr>
          <w:p>
            <w:r>
              <w:t>§2</w:t>
            </w:r>
          </w:p>
        </w:tc>
        <w:tc>
          <w:tcPr>
            <w:tcW w:type="dxa" w:w="2880"/>
          </w:tcPr>
          <w:p>
            <w:r>
              <w:t>右侧「范畴 Cau」标签页的 Obj/Hom 显式展开</w:t>
            </w:r>
          </w:p>
        </w:tc>
      </w:tr>
      <w:tr>
        <w:tc>
          <w:tcPr>
            <w:tcW w:type="dxa" w:w="2880"/>
          </w:tcPr>
          <w:p>
            <w:r>
              <w:t>张量范畴弦图演算（彭罗斯弦图）</w:t>
            </w:r>
          </w:p>
        </w:tc>
        <w:tc>
          <w:tcPr>
            <w:tcW w:type="dxa" w:w="2880"/>
          </w:tcPr>
          <w:p>
            <w:r>
              <w:t>§3</w:t>
            </w:r>
          </w:p>
        </w:tc>
        <w:tc>
          <w:tcPr>
            <w:tcW w:type="dxa" w:w="2880"/>
          </w:tcPr>
          <w:p>
            <w:r>
              <w:t>视图B · 张量弦图</w:t>
            </w:r>
          </w:p>
        </w:tc>
      </w:tr>
      <w:tr>
        <w:tc>
          <w:tcPr>
            <w:tcW w:type="dxa" w:w="2880"/>
          </w:tcPr>
          <w:p>
            <w:r>
              <w:t>粗粒化态射及其复合封闭性</w:t>
            </w:r>
          </w:p>
        </w:tc>
        <w:tc>
          <w:tcPr>
            <w:tcW w:type="dxa" w:w="2880"/>
          </w:tcPr>
          <w:p>
            <w:r>
              <w:t>§3.2</w:t>
            </w:r>
          </w:p>
        </w:tc>
        <w:tc>
          <w:tcPr>
            <w:tcW w:type="dxa" w:w="2880"/>
          </w:tcPr>
          <w:p>
            <w:r>
              <w:t>「⬆ 粗粒化」操作 + 诊断 C-02</w:t>
            </w:r>
          </w:p>
        </w:tc>
      </w:tr>
      <w:tr>
        <w:tc>
          <w:tcPr>
            <w:tcW w:type="dxa" w:w="2880"/>
          </w:tcPr>
          <w:p>
            <w:r>
              <w:t>Kan 扩张 / 余层保结构</w:t>
            </w:r>
          </w:p>
        </w:tc>
        <w:tc>
          <w:tcPr>
            <w:tcW w:type="dxa" w:w="2880"/>
          </w:tcPr>
          <w:p>
            <w:r>
              <w:t>§4</w:t>
            </w:r>
          </w:p>
        </w:tc>
        <w:tc>
          <w:tcPr>
            <w:tcW w:type="dxa" w:w="2880"/>
          </w:tcPr>
          <w:p>
            <w:r>
              <w:t>诊断 C-03</w:t>
            </w:r>
          </w:p>
        </w:tc>
      </w:tr>
      <w:tr>
        <w:tc>
          <w:tcPr>
            <w:tcW w:type="dxa" w:w="2880"/>
          </w:tcPr>
          <w:p>
            <w:r>
              <w:t>重整化演化与凝聚不动点</w:t>
            </w:r>
          </w:p>
        </w:tc>
        <w:tc>
          <w:tcPr>
            <w:tcW w:type="dxa" w:w="2880"/>
          </w:tcPr>
          <w:p>
            <w:r>
              <w:t>§5</w:t>
            </w:r>
          </w:p>
        </w:tc>
        <w:tc>
          <w:tcPr>
            <w:tcW w:type="dxa" w:w="2880"/>
          </w:tcPr>
          <w:p>
            <w:r>
              <w:t>S4 参数演化 + S5 不动点 + 诊断 C-04</w:t>
            </w:r>
          </w:p>
        </w:tc>
      </w:tr>
      <w:tr>
        <w:tc>
          <w:tcPr>
            <w:tcW w:type="dxa" w:w="2880"/>
          </w:tcPr>
          <w:p>
            <w:r>
              <w:t>Spivak 范畴数据库兼容</w:t>
            </w:r>
          </w:p>
        </w:tc>
        <w:tc>
          <w:tcPr>
            <w:tcW w:type="dxa" w:w="2880"/>
          </w:tcPr>
          <w:p>
            <w:r>
              <w:t>—</w:t>
            </w:r>
          </w:p>
        </w:tc>
        <w:tc>
          <w:tcPr>
            <w:tcW w:type="dxa" w:w="2880"/>
          </w:tcPr>
          <w:p>
            <w:r>
              <w:t>诊断 C-05</w:t>
            </w:r>
          </w:p>
        </w:tc>
      </w:tr>
    </w:tbl>
    <w:p>
      <w:pPr>
        <w:pStyle w:val="Heading2"/>
      </w:pPr>
      <w:r>
        <w:t>2.1 软件与范畴论的对应关系（核心映射表）</w:t>
      </w:r>
    </w:p>
    <w:p>
      <w:r>
        <w:t>本软件不是"借用"范畴论词汇，而是把论文构造的每一个范畴论概念都落到了可操作、可检验的界面元素上。下表给出系统性的对应：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范畴论概念</w:t>
            </w:r>
          </w:p>
        </w:tc>
        <w:tc>
          <w:tcPr>
            <w:tcW w:type="dxa" w:w="2160"/>
          </w:tcPr>
          <w:p>
            <w:r>
              <w:t>严格定义（直观版）</w:t>
            </w:r>
          </w:p>
        </w:tc>
        <w:tc>
          <w:tcPr>
            <w:tcW w:type="dxa" w:w="2160"/>
          </w:tcPr>
          <w:p>
            <w:r>
              <w:t>软件中的实体</w:t>
            </w:r>
          </w:p>
        </w:tc>
        <w:tc>
          <w:tcPr>
            <w:tcW w:type="dxa" w:w="2160"/>
          </w:tcPr>
          <w:p>
            <w:r>
              <w:t>出现位置</w:t>
            </w:r>
          </w:p>
        </w:tc>
      </w:tr>
      <w:tr>
        <w:tc>
          <w:tcPr>
            <w:tcW w:type="dxa" w:w="2160"/>
          </w:tcPr>
          <w:p>
            <w:r>
              <w:t>范畴 Cau</w:t>
            </w:r>
          </w:p>
        </w:tc>
        <w:tc>
          <w:tcPr>
            <w:tcW w:type="dxa" w:w="2160"/>
          </w:tcPr>
          <w:p>
            <w:r>
              <w:t>由因果单元（对象）与因果关系（态射）构成的范畴</w:t>
            </w:r>
          </w:p>
        </w:tc>
        <w:tc>
          <w:tcPr>
            <w:tcW w:type="dxa" w:w="2160"/>
          </w:tcPr>
          <w:p>
            <w:r>
              <w:t>整张因果网络</w:t>
            </w:r>
          </w:p>
        </w:tc>
        <w:tc>
          <w:tcPr>
            <w:tcW w:type="dxa" w:w="2160"/>
          </w:tcPr>
          <w:p>
            <w:r>
              <w:t>全部视图</w:t>
            </w:r>
          </w:p>
        </w:tc>
      </w:tr>
      <w:tr>
        <w:tc>
          <w:tcPr>
            <w:tcW w:type="dxa" w:w="2160"/>
          </w:tcPr>
          <w:p>
            <w:r>
              <w:t>对象 Obj(Cau)</w:t>
            </w:r>
          </w:p>
        </w:tc>
        <w:tc>
          <w:tcPr>
            <w:tcW w:type="dxa" w:w="2160"/>
          </w:tcPr>
          <w:p>
            <w:r>
              <w:t>因果单元（事件）</w:t>
            </w:r>
          </w:p>
        </w:tc>
        <w:tc>
          <w:tcPr>
            <w:tcW w:type="dxa" w:w="2160"/>
          </w:tcPr>
          <w:p>
            <w:r>
              <w:t>画布上的圆点节点（A、B、C…，凝聚后为 G1、G2…）</w:t>
            </w:r>
          </w:p>
        </w:tc>
        <w:tc>
          <w:tcPr>
            <w:tcW w:type="dxa" w:w="2160"/>
          </w:tcPr>
          <w:p>
            <w:r>
              <w:t>视图A/DAG、右侧「范畴」页对象集合列表</w:t>
            </w:r>
          </w:p>
        </w:tc>
      </w:tr>
      <w:tr>
        <w:tc>
          <w:tcPr>
            <w:tcW w:type="dxa" w:w="2160"/>
          </w:tcPr>
          <w:p>
            <w:r>
              <w:t>态射 Hom(A,B)</w:t>
            </w:r>
          </w:p>
        </w:tc>
        <w:tc>
          <w:tcPr>
            <w:tcW w:type="dxa" w:w="2160"/>
          </w:tcPr>
          <w:p>
            <w:r>
              <w:t>从因 A 到果 B 的因果关系</w:t>
            </w:r>
          </w:p>
        </w:tc>
        <w:tc>
          <w:tcPr>
            <w:tcW w:type="dxa" w:w="2160"/>
          </w:tcPr>
          <w:p>
            <w:r>
              <w:t>节点间的有向箭头</w:t>
            </w:r>
          </w:p>
        </w:tc>
        <w:tc>
          <w:tcPr>
            <w:tcW w:type="dxa" w:w="2160"/>
          </w:tcPr>
          <w:p>
            <w:r>
              <w:t>视图A/DAG、「范畴」页 Hom 集合列表</w:t>
            </w:r>
          </w:p>
        </w:tc>
      </w:tr>
      <w:tr>
        <w:tc>
          <w:tcPr>
            <w:tcW w:type="dxa" w:w="2160"/>
          </w:tcPr>
          <w:p>
            <w:r>
              <w:t>恒等态射 id_A</w:t>
            </w:r>
          </w:p>
        </w:tc>
        <w:tc>
          <w:tcPr>
            <w:tcW w:type="dxa" w:w="2160"/>
          </w:tcPr>
          <w:p>
            <w:r>
              <w:t>每个对象到自身的平凡因果</w:t>
            </w:r>
          </w:p>
        </w:tc>
        <w:tc>
          <w:tcPr>
            <w:tcW w:type="dxa" w:w="2160"/>
          </w:tcPr>
          <w:p>
            <w:r>
              <w:t>每个节点自带的自环（计数显示于 C-01 诊断："恒等态射 N 个"）</w:t>
            </w:r>
          </w:p>
        </w:tc>
        <w:tc>
          <w:tcPr>
            <w:tcW w:type="dxa" w:w="2160"/>
          </w:tcPr>
          <w:p>
            <w:r>
              <w:t>诊断 C-01</w:t>
            </w:r>
          </w:p>
        </w:tc>
      </w:tr>
      <w:tr>
        <w:tc>
          <w:tcPr>
            <w:tcW w:type="dxa" w:w="2160"/>
          </w:tcPr>
          <w:p>
            <w:r>
              <w:t>复合 ∘</w:t>
            </w:r>
          </w:p>
        </w:tc>
        <w:tc>
          <w:tcPr>
            <w:tcW w:type="dxa" w:w="2160"/>
          </w:tcPr>
          <w:p>
            <w:r>
              <w:t>因果关系沿有向路径的传递</w:t>
            </w:r>
          </w:p>
        </w:tc>
        <w:tc>
          <w:tcPr>
            <w:tcW w:type="dxa" w:w="2160"/>
          </w:tcPr>
          <w:p>
            <w:r>
              <w:t>路径复合：A→B 且 B⇒C 推出 A⇒C</w:t>
            </w:r>
          </w:p>
        </w:tc>
        <w:tc>
          <w:tcPr>
            <w:tcW w:type="dxa" w:w="2160"/>
          </w:tcPr>
          <w:p>
            <w:r>
              <w:t>诊断 C-01"可复合路径 N 条"</w:t>
            </w:r>
          </w:p>
        </w:tc>
      </w:tr>
      <w:tr>
        <w:tc>
          <w:tcPr>
            <w:tcW w:type="dxa" w:w="2160"/>
          </w:tcPr>
          <w:p>
            <w:r>
              <w:t>结合律</w:t>
            </w:r>
          </w:p>
        </w:tc>
        <w:tc>
          <w:tcPr>
            <w:tcW w:type="dxa" w:w="2160"/>
          </w:tcPr>
          <w:p>
            <w:r>
              <w:t>(f∘g)∘h = f∘(g∘h)</w:t>
            </w:r>
          </w:p>
        </w:tc>
        <w:tc>
          <w:tcPr>
            <w:tcW w:type="dxa" w:w="2160"/>
          </w:tcPr>
          <w:p>
            <w:r>
              <w:t>复合路径不依赖结合方式，DAG 天然保证</w:t>
            </w:r>
          </w:p>
        </w:tc>
        <w:tc>
          <w:tcPr>
            <w:tcW w:type="dxa" w:w="2160"/>
          </w:tcPr>
          <w:p>
            <w:r>
              <w:t>诊断 C-01"结合律成立"</w:t>
            </w:r>
          </w:p>
        </w:tc>
      </w:tr>
      <w:tr>
        <w:tc>
          <w:tcPr>
            <w:tcW w:type="dxa" w:w="2160"/>
          </w:tcPr>
          <w:p>
            <w:r>
              <w:t>张量积 ⊗</w:t>
            </w:r>
          </w:p>
        </w:tc>
        <w:tc>
          <w:tcPr>
            <w:tcW w:type="dxa" w:w="2160"/>
          </w:tcPr>
          <w:p>
            <w:r>
              <w:t>对象并排组合</w:t>
            </w:r>
          </w:p>
        </w:tc>
        <w:tc>
          <w:tcPr>
            <w:tcW w:type="dxa" w:w="2160"/>
          </w:tcPr>
          <w:p>
            <w:r>
              <w:t>弦图中并行放置的张量盒</w:t>
            </w:r>
          </w:p>
        </w:tc>
        <w:tc>
          <w:tcPr>
            <w:tcW w:type="dxa" w:w="2160"/>
          </w:tcPr>
          <w:p>
            <w:r>
              <w:t>视图B/张量弦图</w:t>
            </w:r>
          </w:p>
        </w:tc>
      </w:tr>
      <w:tr>
        <w:tc>
          <w:tcPr>
            <w:tcW w:type="dxa" w:w="2160"/>
          </w:tcPr>
          <w:p>
            <w:r>
              <w:t>弦图演算</w:t>
            </w:r>
          </w:p>
        </w:tc>
        <w:tc>
          <w:tcPr>
            <w:tcW w:type="dxa" w:w="2160"/>
          </w:tcPr>
          <w:p>
            <w:r>
              <w:t>张量范畴的图形演算（彭罗斯记号）</w:t>
            </w:r>
          </w:p>
        </w:tc>
        <w:tc>
          <w:tcPr>
            <w:tcW w:type="dxa" w:w="2160"/>
          </w:tcPr>
          <w:p>
            <w:r>
              <w:t>copy/fuse 两种基本盒子与实线/虚线线路</w:t>
            </w:r>
          </w:p>
        </w:tc>
        <w:tc>
          <w:tcPr>
            <w:tcW w:type="dxa" w:w="2160"/>
          </w:tcPr>
          <w:p>
            <w:r>
              <w:t>视图B（copy·fuse 标注、虚线 copy 线、实线 fuse 线）</w:t>
            </w:r>
          </w:p>
        </w:tc>
      </w:tr>
      <w:tr>
        <w:tc>
          <w:tcPr>
            <w:tcW w:type="dxa" w:w="2160"/>
          </w:tcPr>
          <w:p>
            <w:r>
              <w:t>张量函子</w:t>
            </w:r>
          </w:p>
        </w:tc>
        <w:tc>
          <w:tcPr>
            <w:tcW w:type="dxa" w:w="2160"/>
          </w:tcPr>
          <w:p>
            <w:r>
              <w:t>保持 ⊗ 结构的翻译</w:t>
            </w:r>
          </w:p>
        </w:tc>
        <w:tc>
          <w:tcPr>
            <w:tcW w:type="dxa" w:w="2160"/>
          </w:tcPr>
          <w:p>
            <w:r>
              <w:t>DAG → 弦图的自动翻译</w:t>
            </w:r>
          </w:p>
        </w:tc>
        <w:tc>
          <w:tcPr>
            <w:tcW w:type="dxa" w:w="2160"/>
          </w:tcPr>
          <w:p>
            <w:r>
              <w:t>S1「张量弦图展开」、视图A⇄B 互译</w:t>
            </w:r>
          </w:p>
        </w:tc>
      </w:tr>
      <w:tr>
        <w:tc>
          <w:tcPr>
            <w:tcW w:type="dxa" w:w="2160"/>
          </w:tcPr>
          <w:p>
            <w:r>
              <w:t>凝聚函子（粗粒化）</w:t>
            </w:r>
          </w:p>
        </w:tc>
        <w:tc>
          <w:tcPr>
            <w:tcW w:type="dxa" w:w="2160"/>
          </w:tcPr>
          <w:p>
            <w:r>
              <w:t>Cau → Cauᴳ：把若干对象打包为高层对象，同时保持因果连接</w:t>
            </w:r>
          </w:p>
        </w:tc>
        <w:tc>
          <w:tcPr>
            <w:tcW w:type="dxa" w:w="2160"/>
          </w:tcPr>
          <w:p>
            <w:r>
              <w:t>⬆ 粗粒化：选 ≥2 节点 → 虚线框高层对象 G1</w:t>
            </w:r>
          </w:p>
        </w:tc>
        <w:tc>
          <w:tcPr>
            <w:tcW w:type="dxa" w:w="2160"/>
          </w:tcPr>
          <w:p>
            <w:r>
              <w:t>S3、工具栏「⬆ 粗粒化」</w:t>
            </w:r>
          </w:p>
        </w:tc>
      </w:tr>
      <w:tr>
        <w:tc>
          <w:tcPr>
            <w:tcW w:type="dxa" w:w="2160"/>
          </w:tcPr>
          <w:p>
            <w:r>
              <w:t>细化的逆</w:t>
            </w:r>
          </w:p>
        </w:tc>
        <w:tc>
          <w:tcPr>
            <w:tcW w:type="dxa" w:w="2160"/>
          </w:tcPr>
          <w:p>
            <w:r>
              <w:t>粗粒化的逆变换 Cauᴳ → Cau</w:t>
            </w:r>
          </w:p>
        </w:tc>
        <w:tc>
          <w:tcPr>
            <w:tcW w:type="dxa" w:w="2160"/>
          </w:tcPr>
          <w:p>
            <w:r>
              <w:t>⬇ 反向细化：拆回最近一层凝聚</w:t>
            </w:r>
          </w:p>
        </w:tc>
        <w:tc>
          <w:tcPr>
            <w:tcW w:type="dxa" w:w="2160"/>
          </w:tcPr>
          <w:p>
            <w:r>
              <w:t>工具栏「⬇ 反向细化」</w:t>
            </w:r>
          </w:p>
        </w:tc>
      </w:tr>
      <w:tr>
        <w:tc>
          <w:tcPr>
            <w:tcW w:type="dxa" w:w="2160"/>
          </w:tcPr>
          <w:p>
            <w:r>
              <w:t>函子保结构</w:t>
            </w:r>
          </w:p>
        </w:tc>
        <w:tc>
          <w:tcPr>
            <w:tcW w:type="dxa" w:w="2160"/>
          </w:tcPr>
          <w:p>
            <w:r>
              <w:t>函子须保持恒等、复合与 ⊗</w:t>
            </w:r>
          </w:p>
        </w:tc>
        <w:tc>
          <w:tcPr>
            <w:tcW w:type="dxa" w:w="2160"/>
          </w:tcPr>
          <w:p>
            <w:r>
              <w:t>粗粒化后高层对象间的因果边继承自成员间因果边</w:t>
            </w:r>
          </w:p>
        </w:tc>
        <w:tc>
          <w:tcPr>
            <w:tcW w:type="dxa" w:w="2160"/>
          </w:tcPr>
          <w:p>
            <w:r>
              <w:t>S3 变换过程 + 诊断 C-02/C-03</w:t>
            </w:r>
          </w:p>
        </w:tc>
      </w:tr>
      <w:tr>
        <w:tc>
          <w:tcPr>
            <w:tcW w:type="dxa" w:w="2160"/>
          </w:tcPr>
          <w:p>
            <w:r>
              <w:t>Kan 扩张</w:t>
            </w:r>
          </w:p>
        </w:tc>
        <w:tc>
          <w:tcPr>
            <w:tcW w:type="dxa" w:w="2160"/>
          </w:tcPr>
          <w:p>
            <w:r>
              <w:t>沿凝聚函子把结构最优地延拓到高层</w:t>
            </w:r>
          </w:p>
        </w:tc>
        <w:tc>
          <w:tcPr>
            <w:tcW w:type="dxa" w:w="2160"/>
          </w:tcPr>
          <w:p>
            <w:r>
              <w:t>高层网络对底层因果信息的最大保持延拓</w:t>
            </w:r>
          </w:p>
        </w:tc>
        <w:tc>
          <w:tcPr>
            <w:tcW w:type="dxa" w:w="2160"/>
          </w:tcPr>
          <w:p>
            <w:r>
              <w:t>诊断 C-03（演化中检验是否保结构）</w:t>
            </w:r>
          </w:p>
        </w:tc>
      </w:tr>
      <w:tr>
        <w:tc>
          <w:tcPr>
            <w:tcW w:type="dxa" w:w="2160"/>
          </w:tcPr>
          <w:p>
            <w:r>
              <w:t>余层（Cosheaf）</w:t>
            </w:r>
          </w:p>
        </w:tc>
        <w:tc>
          <w:tcPr>
            <w:tcW w:type="dxa" w:w="2160"/>
          </w:tcPr>
          <w:p>
            <w:r>
              <w:t>对覆盖的局部-整体相容赋值</w:t>
            </w:r>
          </w:p>
        </w:tc>
        <w:tc>
          <w:tcPr>
            <w:tcW w:type="dxa" w:w="2160"/>
          </w:tcPr>
          <w:p>
            <w:r>
              <w:t>凝聚单元成员数据在高层对象上的一致聚合</w:t>
            </w:r>
          </w:p>
        </w:tc>
        <w:tc>
          <w:tcPr>
            <w:tcW w:type="dxa" w:w="2160"/>
          </w:tcPr>
          <w:p>
            <w:r>
              <w:t>诊断 C-03</w:t>
            </w:r>
          </w:p>
        </w:tc>
      </w:tr>
      <w:tr>
        <w:tc>
          <w:tcPr>
            <w:tcW w:type="dxa" w:w="2160"/>
          </w:tcPr>
          <w:p>
            <w:r>
              <w:t>自然变换</w:t>
            </w:r>
          </w:p>
        </w:tc>
        <w:tc>
          <w:tcPr>
            <w:tcW w:type="dxa" w:w="2160"/>
          </w:tcPr>
          <w:p>
            <w:r>
              <w:t>函子间的结构保持映射</w:t>
            </w:r>
          </w:p>
        </w:tc>
        <w:tc>
          <w:tcPr>
            <w:tcW w:type="dxa" w:w="2160"/>
          </w:tcPr>
          <w:p>
            <w:r>
              <w:t>参数 λ 演化中网络族之间的逐步凝聚映射</w:t>
            </w:r>
          </w:p>
        </w:tc>
        <w:tc>
          <w:tcPr>
            <w:tcW w:type="dxa" w:w="2160"/>
          </w:tcPr>
          <w:p>
            <w:r>
              <w:t>S4 演化日志 Step 序列</w:t>
            </w:r>
          </w:p>
        </w:tc>
      </w:tr>
      <w:tr>
        <w:tc>
          <w:tcPr>
            <w:tcW w:type="dxa" w:w="2160"/>
          </w:tcPr>
          <w:p>
            <w:r>
              <w:t>不动点</w:t>
            </w:r>
          </w:p>
        </w:tc>
        <w:tc>
          <w:tcPr>
            <w:tcW w:type="dxa" w:w="2160"/>
          </w:tcPr>
          <w:p>
            <w:r>
              <w:t>再次施加变换不再改变结构的自持态</w:t>
            </w:r>
          </w:p>
        </w:tc>
        <w:tc>
          <w:tcPr>
            <w:tcW w:type="dxa" w:w="2160"/>
          </w:tcPr>
          <w:p>
            <w:r>
              <w:t>顶层对象 ≤1 或结构不再改变</w:t>
            </w:r>
          </w:p>
        </w:tc>
        <w:tc>
          <w:tcPr>
            <w:tcW w:type="dxa" w:w="2160"/>
          </w:tcPr>
          <w:p>
            <w:r>
              <w:t>S5「凝聚不动点」+ 诊断 C-04</w:t>
            </w:r>
          </w:p>
        </w:tc>
      </w:tr>
      <w:tr>
        <w:tc>
          <w:tcPr>
            <w:tcW w:type="dxa" w:w="2160"/>
          </w:tcPr>
          <w:p>
            <w:r>
              <w:t>极限/余极限</w:t>
            </w:r>
          </w:p>
        </w:tc>
        <w:tc>
          <w:tcPr>
            <w:tcW w:type="dxa" w:w="2160"/>
          </w:tcPr>
          <w:p>
            <w:r>
              <w:t>范畴中的泛构造</w:t>
            </w:r>
          </w:p>
        </w:tc>
        <w:tc>
          <w:tcPr>
            <w:tcW w:type="dxa" w:w="2160"/>
          </w:tcPr>
          <w:p>
            <w:r>
              <w:t>凝聚的"最大保持"与细化的"最优还原"目标</w:t>
            </w:r>
          </w:p>
        </w:tc>
        <w:tc>
          <w:tcPr>
            <w:tcW w:type="dxa" w:w="2160"/>
          </w:tcPr>
          <w:p>
            <w:r>
              <w:t>理论背景（C-03 检验依据）</w:t>
            </w:r>
          </w:p>
        </w:tc>
      </w:tr>
      <w:tr>
        <w:tc>
          <w:tcPr>
            <w:tcW w:type="dxa" w:w="2160"/>
          </w:tcPr>
          <w:p>
            <w:r>
              <w:t>范畴数据库模式</w:t>
            </w:r>
          </w:p>
        </w:tc>
        <w:tc>
          <w:tcPr>
            <w:tcW w:type="dxa" w:w="2160"/>
          </w:tcPr>
          <w:p>
            <w:r>
              <w:t>Spivak：把数据库模式建成范畴</w:t>
            </w:r>
          </w:p>
        </w:tc>
        <w:tc>
          <w:tcPr>
            <w:tcW w:type="dxa" w:w="2160"/>
          </w:tcPr>
          <w:p>
            <w:r>
              <w:t>高层因果结构可导出为模式映射</w:t>
            </w:r>
          </w:p>
        </w:tc>
        <w:tc>
          <w:tcPr>
            <w:tcW w:type="dxa" w:w="2160"/>
          </w:tcPr>
          <w:p>
            <w:r>
              <w:t>诊断 C-05</w:t>
            </w:r>
          </w:p>
        </w:tc>
      </w:tr>
    </w:tbl>
    <w:p>
      <w:r>
        <w:t>一句话概括：软件把范畴 Cau 的"对象/态射/复合/函子/不动点"整条理论链翻译成了"节点/箭头/路径/打包/自持态"的可视操作链——S0 到 S5 的每一步都是一次函子层面的变换，右侧诊断页则充当"范畴公理检查器"。</w:t>
      </w:r>
    </w:p>
    <w:p>
      <w:r>
        <w:t>参考底座：HodgeFold Explorer；理论脉络：冯嘉礼属性主义纲领。</w:t>
      </w:r>
    </w:p>
    <w:p>
      <w:pPr>
        <w:pStyle w:val="Heading1"/>
      </w:pPr>
      <w:r>
        <w:t>3. 功能规格</w:t>
      </w:r>
    </w:p>
    <w:p>
      <w:pPr>
        <w:pStyle w:val="Heading2"/>
      </w:pPr>
      <w:r>
        <w:t>3.1 六阶状态机 S0–S5（顶部流程条）</w:t>
      </w:r>
    </w:p>
    <w:p>
      <w:r>
        <w:t>顶部步进器展示六个阶段，点击任意阶段跳转；已完成阶段显示 ✓，当前阶段高亮发光，进度线渐变填充。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状态</w:t>
            </w:r>
          </w:p>
        </w:tc>
        <w:tc>
          <w:tcPr>
            <w:tcW w:type="dxa" w:w="2160"/>
          </w:tcPr>
          <w:p>
            <w:r>
              <w:t>名称</w:t>
            </w:r>
          </w:p>
        </w:tc>
        <w:tc>
          <w:tcPr>
            <w:tcW w:type="dxa" w:w="2160"/>
          </w:tcPr>
          <w:p>
            <w:r>
              <w:t>含义</w:t>
            </w:r>
          </w:p>
        </w:tc>
        <w:tc>
          <w:tcPr>
            <w:tcW w:type="dxa" w:w="2160"/>
          </w:tcPr>
          <w:p>
            <w:r>
              <w:t>可执行操作</w:t>
            </w:r>
          </w:p>
        </w:tc>
      </w:tr>
      <w:tr>
        <w:tc>
          <w:tcPr>
            <w:tcW w:type="dxa" w:w="2160"/>
          </w:tcPr>
          <w:p>
            <w:r>
              <w:t>S0</w:t>
            </w:r>
          </w:p>
        </w:tc>
        <w:tc>
          <w:tcPr>
            <w:tcW w:type="dxa" w:w="2160"/>
          </w:tcPr>
          <w:p>
            <w:r>
              <w:t>原始因果网络</w:t>
            </w:r>
          </w:p>
        </w:tc>
        <w:tc>
          <w:tcPr>
            <w:tcW w:type="dxa" w:w="2160"/>
          </w:tcPr>
          <w:p>
            <w:r>
              <w:t>初始因果 DAG</w:t>
            </w:r>
          </w:p>
        </w:tc>
        <w:tc>
          <w:tcPr>
            <w:tcW w:type="dxa" w:w="2160"/>
          </w:tcPr>
          <w:p>
            <w:r>
              <w:t>添加节点、连线模式、删除选中</w:t>
            </w:r>
          </w:p>
        </w:tc>
      </w:tr>
      <w:tr>
        <w:tc>
          <w:tcPr>
            <w:tcW w:type="dxa" w:w="2160"/>
          </w:tcPr>
          <w:p>
            <w:r>
              <w:t>S1</w:t>
            </w:r>
          </w:p>
        </w:tc>
        <w:tc>
          <w:tcPr>
            <w:tcW w:type="dxa" w:w="2160"/>
          </w:tcPr>
          <w:p>
            <w:r>
              <w:t>张量弦图展开</w:t>
            </w:r>
          </w:p>
        </w:tc>
        <w:tc>
          <w:tcPr>
            <w:tcW w:type="dxa" w:w="2160"/>
          </w:tcPr>
          <w:p>
            <w:r>
              <w:t>翻译为彭罗斯弦图演算</w:t>
            </w:r>
          </w:p>
        </w:tc>
        <w:tc>
          <w:tcPr>
            <w:tcW w:type="dxa" w:w="2160"/>
          </w:tcPr>
          <w:p>
            <w:r>
              <w:t>视图切换、画布操作</w:t>
            </w:r>
          </w:p>
        </w:tc>
      </w:tr>
      <w:tr>
        <w:tc>
          <w:tcPr>
            <w:tcW w:type="dxa" w:w="2160"/>
          </w:tcPr>
          <w:p>
            <w:r>
              <w:t>S2</w:t>
            </w:r>
          </w:p>
        </w:tc>
        <w:tc>
          <w:tcPr>
            <w:tcW w:type="dxa" w:w="2160"/>
          </w:tcPr>
          <w:p>
            <w:r>
              <w:t>范畴 Cau 显式展开</w:t>
            </w:r>
          </w:p>
        </w:tc>
        <w:tc>
          <w:tcPr>
            <w:tcW w:type="dxa" w:w="2160"/>
          </w:tcPr>
          <w:p>
            <w:r>
              <w:t>对象/态射/复合/结合律</w:t>
            </w:r>
          </w:p>
        </w:tc>
        <w:tc>
          <w:tcPr>
            <w:tcW w:type="dxa" w:w="2160"/>
          </w:tcPr>
          <w:p>
            <w:r>
              <w:t>点击对象/态射查看定义</w:t>
            </w:r>
          </w:p>
        </w:tc>
      </w:tr>
      <w:tr>
        <w:tc>
          <w:tcPr>
            <w:tcW w:type="dxa" w:w="2160"/>
          </w:tcPr>
          <w:p>
            <w:r>
              <w:t>S3</w:t>
            </w:r>
          </w:p>
        </w:tc>
        <w:tc>
          <w:tcPr>
            <w:tcW w:type="dxa" w:w="2160"/>
          </w:tcPr>
          <w:p>
            <w:r>
              <w:t>粗粒化变换</w:t>
            </w:r>
          </w:p>
        </w:tc>
        <w:tc>
          <w:tcPr>
            <w:tcW w:type="dxa" w:w="2160"/>
          </w:tcPr>
          <w:p>
            <w:r>
              <w:t>升维折叠 ⇄ 降维展开</w:t>
            </w:r>
          </w:p>
        </w:tc>
        <w:tc>
          <w:tcPr>
            <w:tcW w:type="dxa" w:w="2160"/>
          </w:tcPr>
          <w:p>
            <w:r>
              <w:t>⬆ 粗粒化、⬇ 反向细化</w:t>
            </w:r>
          </w:p>
        </w:tc>
      </w:tr>
      <w:tr>
        <w:tc>
          <w:tcPr>
            <w:tcW w:type="dxa" w:w="2160"/>
          </w:tcPr>
          <w:p>
            <w:r>
              <w:t>S4</w:t>
            </w:r>
          </w:p>
        </w:tc>
        <w:tc>
          <w:tcPr>
            <w:tcW w:type="dxa" w:w="2160"/>
          </w:tcPr>
          <w:p>
            <w:r>
              <w:t>重整化演化</w:t>
            </w:r>
          </w:p>
        </w:tc>
        <w:tc>
          <w:tcPr>
            <w:tcW w:type="dxa" w:w="2160"/>
          </w:tcPr>
          <w:p>
            <w:r>
              <w:t>参数驱动的族演化</w:t>
            </w:r>
          </w:p>
        </w:tc>
        <w:tc>
          <w:tcPr>
            <w:tcW w:type="dxa" w:w="2160"/>
          </w:tcPr>
          <w:p>
            <w:r>
              <w:t>调 λ、演化步长 N、「检测不动点」</w:t>
            </w:r>
          </w:p>
        </w:tc>
      </w:tr>
      <w:tr>
        <w:tc>
          <w:tcPr>
            <w:tcW w:type="dxa" w:w="2160"/>
          </w:tcPr>
          <w:p>
            <w:r>
              <w:t>S5</w:t>
            </w:r>
          </w:p>
        </w:tc>
        <w:tc>
          <w:tcPr>
            <w:tcW w:type="dxa" w:w="2160"/>
          </w:tcPr>
          <w:p>
            <w:r>
              <w:t>凝聚不动点</w:t>
            </w:r>
          </w:p>
        </w:tc>
        <w:tc>
          <w:tcPr>
            <w:tcW w:type="dxa" w:w="2160"/>
          </w:tcPr>
          <w:p>
            <w:r>
              <w:t>自持态 · 闭合闭环</w:t>
            </w:r>
          </w:p>
        </w:tc>
        <w:tc>
          <w:tcPr>
            <w:tcW w:type="dxa" w:w="2160"/>
          </w:tcPr>
          <w:p>
            <w:r>
              <w:t>初始网络 vs 不动点结构对比</w:t>
            </w:r>
          </w:p>
        </w:tc>
      </w:tr>
    </w:tbl>
    <w:p>
      <w:pPr>
        <w:pStyle w:val="Heading2"/>
      </w:pPr>
      <w:r>
        <w:t>3.2 双视图（画布右上角切换）</w:t>
      </w:r>
    </w:p>
    <w:p>
      <w:pPr>
        <w:pStyle w:val="ListBullet"/>
      </w:pPr>
      <w:r>
        <w:t>视图A · DAG 因果网络：节点-有向边表示，直观编辑；</w:t>
      </w:r>
    </w:p>
    <w:p>
      <w:pPr>
        <w:pStyle w:val="ListBullet"/>
      </w:pPr>
      <w:r>
        <w:t>视图B · 张量弦图：张量演算表示，与 DAG 互译对照；</w:t>
      </w:r>
    </w:p>
    <w:p>
      <w:pPr>
        <w:pStyle w:val="ListBullet"/>
      </w:pPr>
      <w:r>
        <w:t>画布通用操作：滚轮缩放（0.3×–3×）、空白处拖动平移、拖拽节点重新布局。画布高度 400px。</w:t>
      </w:r>
    </w:p>
    <w:p>
      <w:pPr>
        <w:pStyle w:val="Heading2"/>
      </w:pPr>
      <w:r>
        <w:t>3.3 样例库（4 个内置样例）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样例</w:t>
            </w:r>
          </w:p>
        </w:tc>
        <w:tc>
          <w:tcPr>
            <w:tcW w:type="dxa" w:w="2880"/>
          </w:tcPr>
          <w:p>
            <w:r>
              <w:t>名称</w:t>
            </w:r>
          </w:p>
        </w:tc>
        <w:tc>
          <w:tcPr>
            <w:tcW w:type="dxa" w:w="2880"/>
          </w:tcPr>
          <w:p>
            <w:r>
              <w:t>用途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极简因果网络</w:t>
            </w:r>
          </w:p>
        </w:tc>
        <w:tc>
          <w:tcPr>
            <w:tcW w:type="dxa" w:w="2880"/>
          </w:tcPr>
          <w:p>
            <w:r>
              <w:t>快速收敛演示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并行多分支网络</w:t>
            </w:r>
          </w:p>
        </w:tc>
        <w:tc>
          <w:tcPr>
            <w:tcW w:type="dxa" w:w="2880"/>
          </w:tcPr>
          <w:p>
            <w:r>
              <w:t>分支结构观察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演化不稳定案例</w:t>
            </w:r>
          </w:p>
        </w:tc>
        <w:tc>
          <w:tcPr>
            <w:tcW w:type="dxa" w:w="2880"/>
          </w:tcPr>
          <w:p>
            <w:r>
              <w:t>教学"事故"案例：λ &gt; 0.4 时弱因果边断裂，诊断 C-03 出现 ✕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复杂可收敛案例（默认）</w:t>
            </w:r>
          </w:p>
        </w:tc>
        <w:tc>
          <w:tcPr>
            <w:tcW w:type="dxa" w:w="2880"/>
          </w:tcPr>
          <w:p>
            <w:r>
              <w:t>完整流程演示</w:t>
            </w:r>
          </w:p>
        </w:tc>
      </w:tr>
    </w:tbl>
    <w:p>
      <w:pPr>
        <w:pStyle w:val="Heading2"/>
      </w:pPr>
      <w:r>
        <w:t>3.4 编辑操作（S0）</w:t>
      </w:r>
    </w:p>
    <w:p>
      <w:pPr>
        <w:pStyle w:val="ListBullet"/>
      </w:pPr>
      <w:r>
        <w:t>＋ 添加节点；⇄ 连线模式（依次点击两个节点建立因果边）；✕ 删除选中（自动清理关联边与凝聚成员）。</w:t>
      </w:r>
    </w:p>
    <w:p>
      <w:pPr>
        <w:pStyle w:val="ListBullet"/>
      </w:pPr>
      <w:r>
        <w:t>非 S0 状态下编辑栏变暗并禁用。</w:t>
      </w:r>
    </w:p>
    <w:p>
      <w:pPr>
        <w:pStyle w:val="Heading2"/>
      </w:pPr>
      <w:r>
        <w:t>3.5 粗粒化与反向细化（S3）</w:t>
      </w:r>
    </w:p>
    <w:p>
      <w:pPr>
        <w:pStyle w:val="ListBullet"/>
      </w:pPr>
      <w:r>
        <w:t>⬆ 粗粒化（升维折叠）：选中 ≥2 个节点，凝聚为一个高层对象（虚线框 + 编号 G1、G2…）；</w:t>
      </w:r>
    </w:p>
    <w:p>
      <w:pPr>
        <w:pStyle w:val="ListBullet"/>
      </w:pPr>
      <w:r>
        <w:t>⬇ 反向细化（降维展开）：拆解最近一层凝聚，恢复原结构；</w:t>
      </w:r>
    </w:p>
    <w:p>
      <w:pPr>
        <w:pStyle w:val="ListBullet"/>
      </w:pPr>
      <w:r>
        <w:t>每次操作自动写入快照。</w:t>
      </w:r>
    </w:p>
    <w:p>
      <w:pPr>
        <w:pStyle w:val="Heading2"/>
      </w:pPr>
      <w:r>
        <w:t>3.6 结构诊断（5 条准则，右侧「诊断」标签页）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编号</w:t>
            </w:r>
          </w:p>
        </w:tc>
        <w:tc>
          <w:tcPr>
            <w:tcW w:type="dxa" w:w="2160"/>
          </w:tcPr>
          <w:p>
            <w:r>
              <w:t>准则</w:t>
            </w:r>
          </w:p>
        </w:tc>
        <w:tc>
          <w:tcPr>
            <w:tcW w:type="dxa" w:w="2160"/>
          </w:tcPr>
          <w:p>
            <w:r>
              <w:t>论文依据</w:t>
            </w:r>
          </w:p>
        </w:tc>
        <w:tc>
          <w:tcPr>
            <w:tcW w:type="dxa" w:w="2160"/>
          </w:tcPr>
          <w:p>
            <w:r>
              <w:t>判定</w:t>
            </w:r>
          </w:p>
        </w:tc>
      </w:tr>
      <w:tr>
        <w:tc>
          <w:tcPr>
            <w:tcW w:type="dxa" w:w="2160"/>
          </w:tcPr>
          <w:p>
            <w:r>
              <w:t>C-01</w:t>
            </w:r>
          </w:p>
        </w:tc>
        <w:tc>
          <w:tcPr>
            <w:tcW w:type="dxa" w:w="2160"/>
          </w:tcPr>
          <w:p>
            <w:r>
              <w:t>Cau 公理合法性（恒等态射、复合结合律）</w:t>
            </w:r>
          </w:p>
        </w:tc>
        <w:tc>
          <w:tcPr>
            <w:tcW w:type="dxa" w:w="2160"/>
          </w:tcPr>
          <w:p>
            <w:r>
              <w:t>§2</w:t>
            </w:r>
          </w:p>
        </w:tc>
        <w:tc>
          <w:tcPr>
            <w:tcW w:type="dxa" w:w="2160"/>
          </w:tcPr>
          <w:p>
            <w:r>
              <w:t>✓/◌/✕</w:t>
            </w:r>
          </w:p>
        </w:tc>
      </w:tr>
      <w:tr>
        <w:tc>
          <w:tcPr>
            <w:tcW w:type="dxa" w:w="2160"/>
          </w:tcPr>
          <w:p>
            <w:r>
              <w:t>C-02</w:t>
            </w:r>
          </w:p>
        </w:tc>
        <w:tc>
          <w:tcPr>
            <w:tcW w:type="dxa" w:w="2160"/>
          </w:tcPr>
          <w:p>
            <w:r>
              <w:t>粗粒化态射复合封闭性</w:t>
            </w:r>
          </w:p>
        </w:tc>
        <w:tc>
          <w:tcPr>
            <w:tcW w:type="dxa" w:w="2160"/>
          </w:tcPr>
          <w:p>
            <w:r>
              <w:t>§3.2</w:t>
            </w:r>
          </w:p>
        </w:tc>
        <w:tc>
          <w:tcPr>
            <w:tcW w:type="dxa" w:w="2160"/>
          </w:tcPr>
          <w:p>
            <w:r>
              <w:t>✓/◌/✕</w:t>
            </w:r>
          </w:p>
        </w:tc>
      </w:tr>
      <w:tr>
        <w:tc>
          <w:tcPr>
            <w:tcW w:type="dxa" w:w="2160"/>
          </w:tcPr>
          <w:p>
            <w:r>
              <w:t>C-03</w:t>
            </w:r>
          </w:p>
        </w:tc>
        <w:tc>
          <w:tcPr>
            <w:tcW w:type="dxa" w:w="2160"/>
          </w:tcPr>
          <w:p>
            <w:r>
              <w:t>Kan 扩张/余层保结构检验（演化破损检测）</w:t>
            </w:r>
          </w:p>
        </w:tc>
        <w:tc>
          <w:tcPr>
            <w:tcW w:type="dxa" w:w="2160"/>
          </w:tcPr>
          <w:p>
            <w:r>
              <w:t>§4</w:t>
            </w:r>
          </w:p>
        </w:tc>
        <w:tc>
          <w:tcPr>
            <w:tcW w:type="dxa" w:w="2160"/>
          </w:tcPr>
          <w:p>
            <w:r>
              <w:t>✓/◌/✕</w:t>
            </w:r>
          </w:p>
        </w:tc>
      </w:tr>
      <w:tr>
        <w:tc>
          <w:tcPr>
            <w:tcW w:type="dxa" w:w="2160"/>
          </w:tcPr>
          <w:p>
            <w:r>
              <w:t>C-04</w:t>
            </w:r>
          </w:p>
        </w:tc>
        <w:tc>
          <w:tcPr>
            <w:tcW w:type="dxa" w:w="2160"/>
          </w:tcPr>
          <w:p>
            <w:r>
              <w:t>重整化不动点条件（再次粗粒化不再改变同构结构）</w:t>
            </w:r>
          </w:p>
        </w:tc>
        <w:tc>
          <w:tcPr>
            <w:tcW w:type="dxa" w:w="2160"/>
          </w:tcPr>
          <w:p>
            <w:r>
              <w:t>§5</w:t>
            </w:r>
          </w:p>
        </w:tc>
        <w:tc>
          <w:tcPr>
            <w:tcW w:type="dxa" w:w="2160"/>
          </w:tcPr>
          <w:p>
            <w:r>
              <w:t>✓/◌/✕</w:t>
            </w:r>
          </w:p>
        </w:tc>
      </w:tr>
      <w:tr>
        <w:tc>
          <w:tcPr>
            <w:tcW w:type="dxa" w:w="2160"/>
          </w:tcPr>
          <w:p>
            <w:r>
              <w:t>C-05</w:t>
            </w:r>
          </w:p>
        </w:tc>
        <w:tc>
          <w:tcPr>
            <w:tcW w:type="dxa" w:w="2160"/>
          </w:tcPr>
          <w:p>
            <w:r>
              <w:t>Spivak 范畴数据库兼容性</w:t>
            </w:r>
          </w:p>
        </w:tc>
        <w:tc>
          <w:tcPr>
            <w:tcW w:type="dxa" w:w="2160"/>
          </w:tcPr>
          <w:p>
            <w:r>
              <w:t>—</w:t>
            </w:r>
          </w:p>
        </w:tc>
        <w:tc>
          <w:tcPr>
            <w:tcW w:type="dxa" w:w="2160"/>
          </w:tcPr>
          <w:p>
            <w:r>
              <w:t>✓/◌/✕</w:t>
            </w:r>
          </w:p>
        </w:tc>
      </w:tr>
    </w:tbl>
    <w:p>
      <w:pPr>
        <w:pStyle w:val="Heading2"/>
      </w:pPr>
      <w:r>
        <w:t>3.7 参数演化（S4）</w:t>
      </w:r>
    </w:p>
    <w:p>
      <w:pPr>
        <w:pStyle w:val="ListBullet"/>
      </w:pPr>
      <w:r>
        <w:t>λ（粗粒化聚合偏好）：0–1，步进 0.1，默认 0.6。λ 越大聚合越激进：可能更快收敛不动点，也可能诱发结构破损；</w:t>
      </w:r>
    </w:p>
    <w:p>
      <w:pPr>
        <w:pStyle w:val="ListBullet"/>
      </w:pPr>
      <w:r>
        <w:t>演化步长 N：1–5 步；</w:t>
      </w:r>
    </w:p>
    <w:p>
      <w:pPr>
        <w:pStyle w:val="ListBullet"/>
      </w:pPr>
      <w:r>
        <w:t>「检测不动点」按钮：满足条件（顶层对象 ≤1 或结构不再改变）自动跳转 S5；</w:t>
      </w:r>
    </w:p>
    <w:p>
      <w:pPr>
        <w:pStyle w:val="ListBullet"/>
      </w:pPr>
      <w:r>
        <w:t>演化日志逐步展示凝聚单元增量与结构稳定性。</w:t>
      </w:r>
    </w:p>
    <w:p>
      <w:pPr>
        <w:pStyle w:val="Heading2"/>
      </w:pPr>
      <w:r>
        <w:t>3.8 快照历史</w:t>
      </w:r>
    </w:p>
    <w:p>
      <w:pPr>
        <w:pStyle w:val="ListBullet"/>
      </w:pPr>
      <w:r>
        <w:t>每一次载入、粗粒化、细化、调参、演化、拖动节点均自动存档；</w:t>
      </w:r>
    </w:p>
    <w:p>
      <w:pPr>
        <w:pStyle w:val="ListBullet"/>
      </w:pPr>
      <w:r>
        <w:t>「快照」标签页可一键回退到任意历史状态；</w:t>
      </w:r>
    </w:p>
    <w:p>
      <w:pPr>
        <w:pStyle w:val="ListBullet"/>
      </w:pPr>
      <w:r>
        <w:t>快照随状态哈希导出，可完整还原。</w:t>
      </w:r>
    </w:p>
    <w:p>
      <w:pPr>
        <w:pStyle w:val="Heading2"/>
      </w:pPr>
      <w:r>
        <w:t>3.9 导入导出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功能</w:t>
            </w:r>
          </w:p>
        </w:tc>
        <w:tc>
          <w:tcPr>
            <w:tcW w:type="dxa" w:w="4320"/>
          </w:tcPr>
          <w:p>
            <w:r>
              <w:t>说明</w:t>
            </w:r>
          </w:p>
        </w:tc>
      </w:tr>
      <w:tr>
        <w:tc>
          <w:tcPr>
            <w:tcW w:type="dxa" w:w="4320"/>
          </w:tcPr>
          <w:p>
            <w:r>
              <w:t>📷 导出 PNG</w:t>
            </w:r>
          </w:p>
        </w:tc>
        <w:tc>
          <w:tcPr>
            <w:tcW w:type="dxa" w:w="4320"/>
          </w:tcPr>
          <w:p>
            <w:r>
              <w:t>当前画布（DAG 或弦图）导出为 PNG 图片</w:t>
            </w:r>
          </w:p>
        </w:tc>
      </w:tr>
      <w:tr>
        <w:tc>
          <w:tcPr>
            <w:tcW w:type="dxa" w:w="4320"/>
          </w:tcPr>
          <w:p>
            <w:r>
              <w:t>📦 导出 JSON</w:t>
            </w:r>
          </w:p>
        </w:tc>
        <w:tc>
          <w:tcPr>
            <w:tcW w:type="dxa" w:w="4320"/>
          </w:tcPr>
          <w:p>
            <w:r>
              <w:t>完整网络数据（节点/边/凝聚组/演化标记）</w:t>
            </w:r>
          </w:p>
        </w:tc>
      </w:tr>
      <w:tr>
        <w:tc>
          <w:tcPr>
            <w:tcW w:type="dxa" w:w="4320"/>
          </w:tcPr>
          <w:p>
            <w:r>
              <w:t>🔗 复制状态哈希</w:t>
            </w:r>
          </w:p>
        </w:tc>
        <w:tc>
          <w:tcPr>
            <w:tcW w:type="dxa" w:w="4320"/>
          </w:tcPr>
          <w:p>
            <w:r>
              <w:t>Base64 编码的完整状态写入剪贴板；通过 URL `#h=` 参数可分享/恢复</w:t>
            </w:r>
          </w:p>
        </w:tc>
      </w:tr>
    </w:tbl>
    <w:p>
      <w:pPr>
        <w:pStyle w:val="Heading2"/>
      </w:pPr>
      <w:r>
        <w:t>3.10 新手图解向导</w:t>
      </w:r>
    </w:p>
    <w:p>
      <w:pPr>
        <w:pStyle w:val="ListBullet"/>
      </w:pPr>
      <w:r>
        <w:t>工具栏「❓ 使用说明」打开/关闭浮动窗口（450px 宽，标题栏可拖动，可置于屏幕一角边看边操作）；</w:t>
      </w:r>
    </w:p>
    <w:p>
      <w:pPr>
        <w:pStyle w:val="ListBullet"/>
      </w:pPr>
      <w:r>
        <w:t>6 页图解：① 软件意图（含"不提供证明"声明）→ ② 界面布局 → ③ 看懂网络 → ④ 粗粒化操作 → ⑤ 诊断/参数/快照 → ⑥ 推荐体验路线；</w:t>
      </w:r>
    </w:p>
    <w:p>
      <w:pPr>
        <w:pStyle w:val="ListBullet"/>
      </w:pPr>
      <w:r>
        <w:t>首次访问自动弹出一次（sessionStorage 记忆）。</w:t>
      </w:r>
    </w:p>
    <w:p>
      <w:pPr>
        <w:pStyle w:val="Heading1"/>
      </w:pPr>
      <w:r>
        <w:t>4. 界面布局</w:t>
      </w:r>
    </w:p>
    <w:p>
      <w:r>
        <w:rPr>
          <w:rFonts w:ascii="Consolas" w:hAnsi="Consolas"/>
          <w:sz w:val="18"/>
        </w:rPr>
        <w:t>┌──────────────────────────────────────────────────────┐</w:t>
      </w:r>
    </w:p>
    <w:p>
      <w:r>
        <w:rPr>
          <w:rFonts w:ascii="Consolas" w:hAnsi="Consolas"/>
          <w:sz w:val="18"/>
        </w:rPr>
        <w:t>│ 合规声明条（理论演示，不提供证明）                        │</w:t>
      </w:r>
    </w:p>
    <w:p>
      <w:r>
        <w:rPr>
          <w:rFonts w:ascii="Consolas" w:hAnsi="Consolas"/>
          <w:sz w:val="18"/>
        </w:rPr>
        <w:t>│ 标题区（软件名 / 构造管线副标题 / 参考底座）               │</w:t>
      </w:r>
    </w:p>
    <w:p>
      <w:r>
        <w:rPr>
          <w:rFonts w:ascii="Consolas" w:hAnsi="Consolas"/>
          <w:sz w:val="18"/>
        </w:rPr>
        <w:t>│ S0 ── S1 ── S2 ── S3 ── S4 ── S5   ← 步进器+进度线      │</w:t>
      </w:r>
    </w:p>
    <w:p>
      <w:r>
        <w:rPr>
          <w:rFonts w:ascii="Consolas" w:hAnsi="Consolas"/>
          <w:sz w:val="18"/>
        </w:rPr>
        <w:t>│ 工具栏：样例库 ▾ │ ❓使用说明 │ ⬆粗粒化 ⬇细化 │ 导出×3 状态 │</w:t>
      </w:r>
    </w:p>
    <w:p>
      <w:r>
        <w:rPr>
          <w:rFonts w:ascii="Consolas" w:hAnsi="Consolas"/>
          <w:sz w:val="18"/>
        </w:rPr>
        <w:t>├───────────────────────────────┬──────────────────────┤</w:t>
      </w:r>
    </w:p>
    <w:p>
      <w:r>
        <w:rPr>
          <w:rFonts w:ascii="Consolas" w:hAnsi="Consolas"/>
          <w:sz w:val="18"/>
        </w:rPr>
        <w:t>│ 画布（DAG/弦图双视图，可缩放拖拽）│ 右侧面板 400px        │</w:t>
      </w:r>
    </w:p>
    <w:p>
      <w:r>
        <w:rPr>
          <w:rFonts w:ascii="Consolas" w:hAnsi="Consolas"/>
          <w:sz w:val="18"/>
        </w:rPr>
        <w:t>│ 视图A⇄B 切换                   │ 范畴/诊断/参数/快照 4 页│</w:t>
      </w:r>
    </w:p>
    <w:p>
      <w:r>
        <w:rPr>
          <w:rFonts w:ascii="Consolas" w:hAnsi="Consolas"/>
          <w:sz w:val="18"/>
        </w:rPr>
        <w:t>│ 编辑栏（S0：加节点/连线/删除）   │                      │</w:t>
      </w:r>
    </w:p>
    <w:p>
      <w:r>
        <w:rPr>
          <w:rFonts w:ascii="Consolas" w:hAnsi="Consolas"/>
          <w:sz w:val="18"/>
        </w:rPr>
        <w:t>├───────────────────────────────┴──────────────────────┤</w:t>
      </w:r>
    </w:p>
    <w:p>
      <w:r>
        <w:rPr>
          <w:rFonts w:ascii="Consolas" w:hAnsi="Consolas"/>
          <w:sz w:val="18"/>
        </w:rPr>
        <w:t>│ S5 结构对比（初始网络 vs 凝聚不动点）                    │</w:t>
      </w:r>
    </w:p>
    <w:p>
      <w:r>
        <w:rPr>
          <w:rFonts w:ascii="Consolas" w:hAnsi="Consolas"/>
          <w:sz w:val="18"/>
        </w:rPr>
        <w:t>│ 页脚：理论出处与交互范式说明                               │</w:t>
      </w:r>
    </w:p>
    <w:p>
      <w:r>
        <w:rPr>
          <w:rFonts w:ascii="Consolas" w:hAnsi="Consolas"/>
          <w:sz w:val="18"/>
        </w:rPr>
        <w:t>└──────────────────────────────────────────────────────┘</w:t>
      </w:r>
    </w:p>
    <w:p>
      <w:r>
        <w:t>整体内容区最大宽度 1380px，深色主题，紫/琥珀/青/玫红四色语义体系。</w:t>
      </w:r>
    </w:p>
    <w:p>
      <w:pPr>
        <w:pStyle w:val="Heading1"/>
      </w:pPr>
      <w:r>
        <w:t>5. 数据模型</w:t>
      </w:r>
    </w:p>
    <w:p>
      <w:r>
        <w:rPr>
          <w:rFonts w:ascii="Consolas" w:hAnsi="Consolas"/>
          <w:sz w:val="18"/>
        </w:rPr>
        <w:t>net = {</w:t>
      </w:r>
    </w:p>
    <w:p>
      <w:r>
        <w:rPr>
          <w:rFonts w:ascii="Consolas" w:hAnsi="Consolas"/>
          <w:sz w:val="18"/>
        </w:rPr>
        <w:t xml:space="preserve">  nodes: [{ id, label, x, y, group }],   // group 为所属凝聚单元编号</w:t>
      </w:r>
    </w:p>
    <w:p>
      <w:r>
        <w:rPr>
          <w:rFonts w:ascii="Consolas" w:hAnsi="Consolas"/>
          <w:sz w:val="18"/>
        </w:rPr>
        <w:t xml:space="preserve">  edges: [{ id, from, to }],</w:t>
      </w:r>
    </w:p>
    <w:p>
      <w:r>
        <w:rPr>
          <w:rFonts w:ascii="Consolas" w:hAnsi="Consolas"/>
          <w:sz w:val="18"/>
        </w:rPr>
        <w:t xml:space="preserve">  groups: { "G1": { members: [...] } },</w:t>
      </w:r>
    </w:p>
    <w:p>
      <w:r>
        <w:rPr>
          <w:rFonts w:ascii="Consolas" w:hAnsi="Consolas"/>
          <w:sz w:val="18"/>
        </w:rPr>
        <w:t xml:space="preserve">  _damaged: false,   // 演化中出现结构破损（C-03 触发）</w:t>
      </w:r>
    </w:p>
    <w:p>
      <w:r>
        <w:rPr>
          <w:rFonts w:ascii="Consolas" w:hAnsi="Consolas"/>
          <w:sz w:val="18"/>
        </w:rPr>
        <w:t xml:space="preserve">  _fixed: false,     // 不动点已达成（C-04 触发）</w:t>
      </w:r>
    </w:p>
    <w:p>
      <w:r>
        <w:rPr>
          <w:rFonts w:ascii="Consolas" w:hAnsi="Consolas"/>
          <w:sz w:val="18"/>
        </w:rPr>
        <w:t xml:space="preserve">  _steps: 0,         // 收敛所需步数</w:t>
      </w:r>
    </w:p>
    <w:p>
      <w:r>
        <w:rPr>
          <w:rFonts w:ascii="Consolas" w:hAnsi="Consolas"/>
          <w:sz w:val="18"/>
        </w:rPr>
        <w:t xml:space="preserve">  _weak: "边id"      // 样例3 的弱因果边</w:t>
      </w:r>
    </w:p>
    <w:p>
      <w:r>
        <w:rPr>
          <w:rFonts w:ascii="Consolas" w:hAnsi="Consolas"/>
          <w:sz w:val="18"/>
        </w:rPr>
        <w:t>}</w:t>
      </w:r>
    </w:p>
    <w:p>
      <w:r>
        <w:rPr>
          <w:rFonts w:ascii="Consolas" w:hAnsi="Consolas"/>
          <w:sz w:val="18"/>
        </w:rPr>
        <w:t>params = { steps: 2, lambda: 0.6 }</w:t>
      </w:r>
    </w:p>
    <w:p>
      <w:r>
        <w:rPr>
          <w:rFonts w:ascii="Consolas" w:hAnsi="Consolas"/>
          <w:sz w:val="18"/>
        </w:rPr>
        <w:t>snapshots = [{ label, stateId, data: { net, params } }, ...]  // 完整历史栈</w:t>
      </w:r>
    </w:p>
    <w:p>
      <w:r>
        <w:t>状态哈希 = Base64(JSON{net, stateId})，经 URL #h= 还原。</w:t>
      </w:r>
    </w:p>
    <w:p>
      <w:pPr>
        <w:pStyle w:val="Heading1"/>
      </w:pPr>
      <w:r>
        <w:t>6. 技术架构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项</w:t>
            </w:r>
          </w:p>
        </w:tc>
        <w:tc>
          <w:tcPr>
            <w:tcW w:type="dxa" w:w="4320"/>
          </w:tcPr>
          <w:p>
            <w:r>
              <w:t>规格</w:t>
            </w:r>
          </w:p>
        </w:tc>
      </w:tr>
      <w:tr>
        <w:tc>
          <w:tcPr>
            <w:tcW w:type="dxa" w:w="4320"/>
          </w:tcPr>
          <w:p>
            <w:r>
              <w:t>交付形态</w:t>
            </w:r>
          </w:p>
        </w:tc>
        <w:tc>
          <w:tcPr>
            <w:tcW w:type="dxa" w:w="4320"/>
          </w:tcPr>
          <w:p>
            <w:r>
              <w:t>单文件 `index.html`（HTML + 内联 CSS + 原生 JS，无外部依赖）</w:t>
            </w:r>
          </w:p>
        </w:tc>
      </w:tr>
      <w:tr>
        <w:tc>
          <w:tcPr>
            <w:tcW w:type="dxa" w:w="4320"/>
          </w:tcPr>
          <w:p>
            <w:r>
              <w:t>渲染</w:t>
            </w:r>
          </w:p>
        </w:tc>
        <w:tc>
          <w:tcPr>
            <w:tcW w:type="dxa" w:w="4320"/>
          </w:tcPr>
          <w:p>
            <w:r>
              <w:t>SVG（动态 DOM 创建），视图变换用 translate/scale</w:t>
            </w:r>
          </w:p>
        </w:tc>
      </w:tr>
      <w:tr>
        <w:tc>
          <w:tcPr>
            <w:tcW w:type="dxa" w:w="4320"/>
          </w:tcPr>
          <w:p>
            <w:r>
              <w:t>画布缩放</w:t>
            </w:r>
          </w:p>
        </w:tc>
        <w:tc>
          <w:tcPr>
            <w:tcW w:type="dxa" w:w="4320"/>
          </w:tcPr>
          <w:p>
            <w:r>
              <w:t>wheel 事件，0.3×–3× 钳制</w:t>
            </w:r>
          </w:p>
        </w:tc>
      </w:tr>
      <w:tr>
        <w:tc>
          <w:tcPr>
            <w:tcW w:type="dxa" w:w="4320"/>
          </w:tcPr>
          <w:p>
            <w:r>
              <w:t>部署</w:t>
            </w:r>
          </w:p>
        </w:tc>
        <w:tc>
          <w:tcPr>
            <w:tcW w:type="dxa" w:w="4320"/>
          </w:tcPr>
          <w:p>
            <w:r>
              <w:t>任意静态服务器；当前部署于 `/opt/wuwei/show/causal/`（165.154.4.196，Nginx + HTTPS）</w:t>
            </w:r>
          </w:p>
        </w:tc>
      </w:tr>
      <w:tr>
        <w:tc>
          <w:tcPr>
            <w:tcW w:type="dxa" w:w="4320"/>
          </w:tcPr>
          <w:p>
            <w:r>
              <w:t>回滚机制</w:t>
            </w:r>
          </w:p>
        </w:tc>
        <w:tc>
          <w:tcPr>
            <w:tcW w:type="dxa" w:w="4320"/>
          </w:tcPr>
          <w:p>
            <w:r>
              <w:t>每次更新前线上文件备份为 `index.html.bak.&lt;时间戳&gt;`</w:t>
            </w:r>
          </w:p>
        </w:tc>
      </w:tr>
    </w:tbl>
    <w:p>
      <w:pPr>
        <w:pStyle w:val="Heading1"/>
      </w:pPr>
      <w:r>
        <w:t>7. 操作手册（推荐体验路线）</w:t>
      </w:r>
    </w:p>
    <w:p>
      <w:r>
        <w:t>1. 载入样例4（默认），看 S0 原始网络；</w:t>
      </w:r>
    </w:p>
    <w:p>
      <w:r>
        <w:t>2. 点 S1 / S2：看弦图翻译与范畴 Cau 显式展开，点对象/态射看定义；</w:t>
      </w:r>
    </w:p>
    <w:p>
      <w:r>
        <w:t>3. 到 S3：选中 2 个以上节点（金色边框）→ 点「⬆ 粗粒化」；尝试「⬇ 反向细化」拆回；</w:t>
      </w:r>
    </w:p>
    <w:p>
      <w:r>
        <w:t>4. S4：拖动 λ 观察演化日志；点「检测不动点」直达 S5；</w:t>
      </w:r>
    </w:p>
    <w:p>
      <w:r>
        <w:t>5. S5：查看初始网络与凝聚不动点的对象/态射/结构对比；</w:t>
      </w:r>
    </w:p>
    <w:p>
      <w:r>
        <w:t>6. 彩蛋：载入样例3，λ 调到 0.5 以上 → 弱边断裂、诊断 C-03 出现 ✕ → 用快照回退"修复"；</w:t>
      </w:r>
    </w:p>
    <w:p>
      <w:r>
        <w:t>7. 导出 PNG/JSON 或复制状态哈希保存结果。</w:t>
      </w:r>
    </w:p>
    <w:p>
      <w:pPr>
        <w:pStyle w:val="Heading1"/>
      </w:pPr>
      <w:r>
        <w:t>8. 限制与免责声明</w:t>
      </w:r>
    </w:p>
    <w:p>
      <w:r>
        <w:t>1. 本软件为理论演示与结构检验原型，不构成对因果凝聚理论的数学证明；</w:t>
      </w:r>
    </w:p>
    <w:p>
      <w:r>
        <w:t>2. 全部理论构造的权威表述以论文原文为准，软件中的自然语言解释仅为辅助理解；</w:t>
      </w:r>
    </w:p>
    <w:p>
      <w:r>
        <w:t>3. 演化与诊断逻辑为论文构造的计算模拟，其通过/不通过判定不替代形式化验证；</w:t>
      </w:r>
    </w:p>
    <w:p>
      <w:r>
        <w:t>4. 建议使用现代浏览器（Chrome / Edge / Firefox）访问。</w:t>
      </w:r>
    </w:p>
    <w:p>
      <w:pPr>
        <w:pStyle w:val="Heading1"/>
      </w:pPr>
      <w:r>
        <w:t>9. 版本历史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版本</w:t>
            </w:r>
          </w:p>
        </w:tc>
        <w:tc>
          <w:tcPr>
            <w:tcW w:type="dxa" w:w="2880"/>
          </w:tcPr>
          <w:p>
            <w:r>
              <w:t>日期</w:t>
            </w:r>
          </w:p>
        </w:tc>
        <w:tc>
          <w:tcPr>
            <w:tcW w:type="dxa" w:w="2880"/>
          </w:tcPr>
          <w:p>
            <w:r>
              <w:t>变更</w:t>
            </w:r>
          </w:p>
        </w:tc>
      </w:tr>
      <w:tr>
        <w:tc>
          <w:tcPr>
            <w:tcW w:type="dxa" w:w="2880"/>
          </w:tcPr>
          <w:p>
            <w:r>
              <w:t>v1.0</w:t>
            </w:r>
          </w:p>
        </w:tc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初版：S0–S5 状态机、双视图、粗粒化/细化、诊断 C-01~05、参数演化、快照、导入导出、状态哈希</w:t>
            </w:r>
          </w:p>
        </w:tc>
      </w:tr>
      <w:tr>
        <w:tc>
          <w:tcPr>
            <w:tcW w:type="dxa" w:w="2880"/>
          </w:tcPr>
          <w:p>
            <w:r>
              <w:t>v1.1</w:t>
            </w:r>
          </w:p>
        </w:tc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布局优化（首屏一屏展示、画布收窄 400px、字号图幅匹配）；顶部步进器美化（进度线/✓/发光）；新增 6 页图解式新手向导；向导改为可拖动浮动窗口</w:t>
            </w:r>
          </w:p>
        </w:tc>
      </w:tr>
      <w:tr>
        <w:tc>
          <w:tcPr>
            <w:tcW w:type="dxa" w:w="2880"/>
          </w:tcPr>
          <w:p>
            <w:r>
              <w:t>v1.2</w:t>
            </w:r>
          </w:p>
        </w:tc>
        <w:tc>
          <w:tcPr>
            <w:tcW w:type="dxa" w:w="2880"/>
          </w:tcPr>
          <w:p>
            <w:r>
              <w:t>2026-09-23</w:t>
            </w:r>
          </w:p>
        </w:tc>
        <w:tc>
          <w:tcPr>
            <w:tcW w:type="dxa" w:w="2880"/>
          </w:tcPr>
          <w:p>
            <w:r>
              <w:t>规格说明书新增 §2.1「软件与范畴论的对应关系」核心映射表（对象/态射/复合/弦图/凝聚函子/Kan 扩张/不动点等 18 项范畴概念与界面实体逐一对应）；页脚增加说明书下载链接；主页应用项目板块加入口卡片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